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D1E" w:rsidRPr="00CD0D1E" w:rsidRDefault="00CD0D1E" w:rsidP="00CD0D1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D0D1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Программа Кызыл Жар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59"/>
        <w:gridCol w:w="7161"/>
      </w:tblGrid>
      <w:tr w:rsidR="00CD0D1E" w:rsidRPr="00CD0D1E" w:rsidTr="00CD0D1E">
        <w:trPr>
          <w:tblCellSpacing w:w="15" w:type="dxa"/>
        </w:trPr>
        <w:tc>
          <w:tcPr>
            <w:tcW w:w="3014" w:type="dxa"/>
            <w:vAlign w:val="center"/>
            <w:hideMark/>
          </w:tcPr>
          <w:p w:rsidR="00CD0D1E" w:rsidRPr="00CD0D1E" w:rsidRDefault="00CD0D1E" w:rsidP="00CD0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D1E">
              <w:rPr>
                <w:rFonts w:ascii="Times New Roman" w:eastAsia="Times New Roman" w:hAnsi="Times New Roman" w:cs="Times New Roman"/>
                <w:sz w:val="24"/>
                <w:szCs w:val="24"/>
              </w:rPr>
              <w:t>Заемщик</w:t>
            </w:r>
          </w:p>
        </w:tc>
        <w:tc>
          <w:tcPr>
            <w:tcW w:w="7116" w:type="dxa"/>
            <w:vAlign w:val="center"/>
            <w:hideMark/>
          </w:tcPr>
          <w:p w:rsidR="00CD0D1E" w:rsidRPr="00CD0D1E" w:rsidRDefault="00CD0D1E" w:rsidP="00CD0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D1E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субъекты малого и среднего предпринимательства, официально зарегистрированный и реализующий/планирующий реализацию проекта финансирования на территории Северо-Казахстанской области в соответствии с приоритетными отраслями согласно </w:t>
            </w:r>
            <w:hyperlink r:id="rId4" w:tgtFrame="_blank" w:history="1">
              <w:r w:rsidRPr="00CD0D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Приложению № 1</w:t>
              </w:r>
            </w:hyperlink>
          </w:p>
        </w:tc>
      </w:tr>
      <w:tr w:rsidR="00CD0D1E" w:rsidRPr="00CD0D1E" w:rsidTr="00CD0D1E">
        <w:trPr>
          <w:tblCellSpacing w:w="15" w:type="dxa"/>
        </w:trPr>
        <w:tc>
          <w:tcPr>
            <w:tcW w:w="3014" w:type="dxa"/>
            <w:vAlign w:val="center"/>
            <w:hideMark/>
          </w:tcPr>
          <w:p w:rsidR="00CD0D1E" w:rsidRPr="00CD0D1E" w:rsidRDefault="00CD0D1E" w:rsidP="00CD0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D1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займа</w:t>
            </w:r>
          </w:p>
        </w:tc>
        <w:tc>
          <w:tcPr>
            <w:tcW w:w="7116" w:type="dxa"/>
            <w:vAlign w:val="center"/>
            <w:hideMark/>
          </w:tcPr>
          <w:p w:rsidR="00CD0D1E" w:rsidRPr="00CD0D1E" w:rsidRDefault="00CD0D1E" w:rsidP="00CD0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D1E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30 000 000 тенге</w:t>
            </w:r>
          </w:p>
        </w:tc>
      </w:tr>
      <w:tr w:rsidR="00CD0D1E" w:rsidRPr="00CD0D1E" w:rsidTr="00CD0D1E">
        <w:trPr>
          <w:trHeight w:val="352"/>
          <w:tblCellSpacing w:w="15" w:type="dxa"/>
        </w:trPr>
        <w:tc>
          <w:tcPr>
            <w:tcW w:w="3014" w:type="dxa"/>
            <w:vAlign w:val="center"/>
            <w:hideMark/>
          </w:tcPr>
          <w:p w:rsidR="00CD0D1E" w:rsidRPr="00CD0D1E" w:rsidRDefault="00CD0D1E" w:rsidP="00CD0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D1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займа</w:t>
            </w:r>
          </w:p>
        </w:tc>
        <w:tc>
          <w:tcPr>
            <w:tcW w:w="7116" w:type="dxa"/>
            <w:vAlign w:val="center"/>
            <w:hideMark/>
          </w:tcPr>
          <w:p w:rsidR="00CD0D1E" w:rsidRPr="00CD0D1E" w:rsidRDefault="00CD0D1E" w:rsidP="00CD0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D1E">
              <w:rPr>
                <w:rFonts w:ascii="Times New Roman" w:eastAsia="Times New Roman" w:hAnsi="Times New Roman" w:cs="Times New Roman"/>
                <w:sz w:val="24"/>
                <w:szCs w:val="24"/>
              </w:rPr>
              <w:t>- на инвестиции – до 84 месяцев, но не более 01.04.2024 г.</w:t>
            </w:r>
          </w:p>
          <w:p w:rsidR="00CD0D1E" w:rsidRPr="00CD0D1E" w:rsidRDefault="00CD0D1E" w:rsidP="00CD0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D1E">
              <w:rPr>
                <w:rFonts w:ascii="Times New Roman" w:eastAsia="Times New Roman" w:hAnsi="Times New Roman" w:cs="Times New Roman"/>
                <w:sz w:val="24"/>
                <w:szCs w:val="24"/>
              </w:rPr>
              <w:t>- на пополнение оборотных средств - до 36 месяцев, но не более 01.04.2024 г.</w:t>
            </w:r>
          </w:p>
          <w:p w:rsidR="00CD0D1E" w:rsidRPr="00CD0D1E" w:rsidRDefault="00CD0D1E" w:rsidP="00CD0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D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0D1E" w:rsidRPr="00CD0D1E" w:rsidTr="00CD0D1E">
        <w:trPr>
          <w:tblCellSpacing w:w="15" w:type="dxa"/>
        </w:trPr>
        <w:tc>
          <w:tcPr>
            <w:tcW w:w="3014" w:type="dxa"/>
            <w:vAlign w:val="center"/>
            <w:hideMark/>
          </w:tcPr>
          <w:p w:rsidR="00CD0D1E" w:rsidRPr="00CD0D1E" w:rsidRDefault="00CD0D1E" w:rsidP="00CD0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D1E">
              <w:rPr>
                <w:rFonts w:ascii="Times New Roman" w:eastAsia="Times New Roman" w:hAnsi="Times New Roman" w:cs="Times New Roman"/>
                <w:sz w:val="24"/>
                <w:szCs w:val="24"/>
              </w:rPr>
              <w:t>Валюта займа</w:t>
            </w:r>
          </w:p>
        </w:tc>
        <w:tc>
          <w:tcPr>
            <w:tcW w:w="7116" w:type="dxa"/>
            <w:vAlign w:val="center"/>
            <w:hideMark/>
          </w:tcPr>
          <w:p w:rsidR="00CD0D1E" w:rsidRPr="00CD0D1E" w:rsidRDefault="00CD0D1E" w:rsidP="00CD0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D1E">
              <w:rPr>
                <w:rFonts w:ascii="Times New Roman" w:eastAsia="Times New Roman" w:hAnsi="Times New Roman" w:cs="Times New Roman"/>
                <w:sz w:val="24"/>
                <w:szCs w:val="24"/>
              </w:rPr>
              <w:t>тенге</w:t>
            </w:r>
          </w:p>
        </w:tc>
      </w:tr>
      <w:tr w:rsidR="00CD0D1E" w:rsidRPr="00CD0D1E" w:rsidTr="00CD0D1E">
        <w:trPr>
          <w:trHeight w:val="553"/>
          <w:tblCellSpacing w:w="15" w:type="dxa"/>
        </w:trPr>
        <w:tc>
          <w:tcPr>
            <w:tcW w:w="3014" w:type="dxa"/>
            <w:vAlign w:val="center"/>
            <w:hideMark/>
          </w:tcPr>
          <w:p w:rsidR="00CD0D1E" w:rsidRPr="00CD0D1E" w:rsidRDefault="00CD0D1E" w:rsidP="00CD0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D1E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Целевое назначение займа</w:t>
            </w:r>
          </w:p>
        </w:tc>
        <w:tc>
          <w:tcPr>
            <w:tcW w:w="7116" w:type="dxa"/>
            <w:vAlign w:val="center"/>
            <w:hideMark/>
          </w:tcPr>
          <w:p w:rsidR="00CD0D1E" w:rsidRPr="00CD0D1E" w:rsidRDefault="00CD0D1E" w:rsidP="00CD0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D1E">
              <w:rPr>
                <w:rFonts w:ascii="Times New Roman" w:eastAsia="Times New Roman" w:hAnsi="Times New Roman" w:cs="Times New Roman"/>
                <w:sz w:val="24"/>
                <w:szCs w:val="24"/>
              </w:rPr>
              <w:t>- на инвестиции</w:t>
            </w:r>
          </w:p>
          <w:p w:rsidR="00CD0D1E" w:rsidRPr="00CD0D1E" w:rsidRDefault="00CD0D1E" w:rsidP="00CD0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D1E">
              <w:rPr>
                <w:rFonts w:ascii="Times New Roman" w:eastAsia="Times New Roman" w:hAnsi="Times New Roman" w:cs="Times New Roman"/>
                <w:sz w:val="24"/>
                <w:szCs w:val="24"/>
              </w:rPr>
              <w:t>- пополнение оборотных средств</w:t>
            </w:r>
          </w:p>
        </w:tc>
      </w:tr>
      <w:tr w:rsidR="00CD0D1E" w:rsidRPr="00CD0D1E" w:rsidTr="00CD0D1E">
        <w:trPr>
          <w:tblCellSpacing w:w="15" w:type="dxa"/>
        </w:trPr>
        <w:tc>
          <w:tcPr>
            <w:tcW w:w="3014" w:type="dxa"/>
            <w:vAlign w:val="center"/>
            <w:hideMark/>
          </w:tcPr>
          <w:p w:rsidR="00CD0D1E" w:rsidRPr="00CD0D1E" w:rsidRDefault="00CD0D1E" w:rsidP="00CD0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D1E"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Номинальная ставка вознаграждения</w:t>
            </w:r>
          </w:p>
        </w:tc>
        <w:tc>
          <w:tcPr>
            <w:tcW w:w="7116" w:type="dxa"/>
            <w:vAlign w:val="center"/>
            <w:hideMark/>
          </w:tcPr>
          <w:p w:rsidR="00CD0D1E" w:rsidRPr="00CD0D1E" w:rsidRDefault="00CD0D1E" w:rsidP="00CD0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D1E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8,5% годовых</w:t>
            </w:r>
          </w:p>
        </w:tc>
      </w:tr>
      <w:tr w:rsidR="00CD0D1E" w:rsidRPr="00CD0D1E" w:rsidTr="00CD0D1E">
        <w:trPr>
          <w:tblCellSpacing w:w="15" w:type="dxa"/>
        </w:trPr>
        <w:tc>
          <w:tcPr>
            <w:tcW w:w="3014" w:type="dxa"/>
            <w:vAlign w:val="center"/>
            <w:hideMark/>
          </w:tcPr>
          <w:p w:rsidR="00CD0D1E" w:rsidRPr="00CD0D1E" w:rsidRDefault="00CD0D1E" w:rsidP="00CD0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D1E">
              <w:rPr>
                <w:rFonts w:ascii="Times New Roman" w:eastAsia="Times New Roman" w:hAnsi="Times New Roman" w:cs="Times New Roman"/>
                <w:sz w:val="24"/>
                <w:szCs w:val="24"/>
              </w:rPr>
              <w:t>ГЭСВ</w:t>
            </w:r>
          </w:p>
        </w:tc>
        <w:tc>
          <w:tcPr>
            <w:tcW w:w="7116" w:type="dxa"/>
            <w:vAlign w:val="center"/>
            <w:hideMark/>
          </w:tcPr>
          <w:p w:rsidR="00CD0D1E" w:rsidRPr="00CD0D1E" w:rsidRDefault="00CD0D1E" w:rsidP="00CD0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D1E">
              <w:rPr>
                <w:rFonts w:ascii="Times New Roman" w:eastAsia="Times New Roman" w:hAnsi="Times New Roman" w:cs="Times New Roman"/>
                <w:sz w:val="24"/>
                <w:szCs w:val="24"/>
              </w:rPr>
              <w:t>от 9,2 % годовых</w:t>
            </w:r>
          </w:p>
        </w:tc>
      </w:tr>
      <w:tr w:rsidR="00CD0D1E" w:rsidRPr="00CD0D1E" w:rsidTr="00CD0D1E">
        <w:trPr>
          <w:tblCellSpacing w:w="15" w:type="dxa"/>
        </w:trPr>
        <w:tc>
          <w:tcPr>
            <w:tcW w:w="3014" w:type="dxa"/>
            <w:vAlign w:val="center"/>
            <w:hideMark/>
          </w:tcPr>
          <w:p w:rsidR="00CD0D1E" w:rsidRPr="00CD0D1E" w:rsidRDefault="00CD0D1E" w:rsidP="00CD0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D1E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7116" w:type="dxa"/>
            <w:vAlign w:val="center"/>
            <w:hideMark/>
          </w:tcPr>
          <w:p w:rsidR="00CD0D1E" w:rsidRPr="00CD0D1E" w:rsidRDefault="00CD0D1E" w:rsidP="00CD0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D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комиссия за рассмотрение заявки </w:t>
            </w:r>
            <w:proofErr w:type="gramStart"/>
            <w:r w:rsidRPr="00CD0D1E">
              <w:rPr>
                <w:rFonts w:ascii="Times New Roman" w:eastAsia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CD0D1E">
              <w:rPr>
                <w:rFonts w:ascii="Times New Roman" w:eastAsia="Times New Roman" w:hAnsi="Times New Roman" w:cs="Times New Roman"/>
                <w:sz w:val="24"/>
                <w:szCs w:val="24"/>
              </w:rPr>
              <w:t>е более 1% от суммы займа</w:t>
            </w:r>
          </w:p>
        </w:tc>
      </w:tr>
      <w:tr w:rsidR="00CD0D1E" w:rsidRPr="00CD0D1E" w:rsidTr="00CD0D1E">
        <w:trPr>
          <w:tblCellSpacing w:w="15" w:type="dxa"/>
        </w:trPr>
        <w:tc>
          <w:tcPr>
            <w:tcW w:w="3014" w:type="dxa"/>
            <w:vAlign w:val="center"/>
            <w:hideMark/>
          </w:tcPr>
          <w:p w:rsidR="00CD0D1E" w:rsidRPr="00CD0D1E" w:rsidRDefault="00CD0D1E" w:rsidP="00CD0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D1E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Подробнее можно ознакомиться на сайте фонда "Даму"</w:t>
            </w:r>
          </w:p>
        </w:tc>
        <w:tc>
          <w:tcPr>
            <w:tcW w:w="7116" w:type="dxa"/>
            <w:vAlign w:val="center"/>
            <w:hideMark/>
          </w:tcPr>
          <w:p w:rsidR="00CD0D1E" w:rsidRPr="00CD0D1E" w:rsidRDefault="00CD0D1E" w:rsidP="00CD0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Pr="00CD0D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https://www.damu.kz/programmi/programmy-dlya-deystvuyushchikh-predprinimateley/kreditovanie/kyzyl-zhar/</w:t>
              </w:r>
            </w:hyperlink>
          </w:p>
        </w:tc>
      </w:tr>
    </w:tbl>
    <w:p w:rsidR="00892171" w:rsidRDefault="00892171"/>
    <w:sectPr w:rsidR="00892171" w:rsidSect="00CD0D1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D0D1E"/>
    <w:rsid w:val="00892171"/>
    <w:rsid w:val="00CD0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0D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0D1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CD0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D0D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2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7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7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5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34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6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amu.kz/programmi/programmy-dlya-deystvuyushchikh-predprinimateley/kreditovanie/kyzyl-zhar/" TargetMode="External"/><Relationship Id="rId4" Type="http://schemas.openxmlformats.org/officeDocument/2006/relationships/hyperlink" Target="https://nurbank.kz/up_files/2017/perechen_sec_econ_pr_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2022-11-28T09:19:00Z</dcterms:created>
  <dcterms:modified xsi:type="dcterms:W3CDTF">2022-11-28T09:19:00Z</dcterms:modified>
</cp:coreProperties>
</file>