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27" w:rsidRPr="005B0F27" w:rsidRDefault="005B0F27" w:rsidP="005B0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B0F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 поддержки субъектов малого и среднего предпринимательства, занятых в сфере обрабатывающей промышленности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3"/>
        <w:gridCol w:w="7917"/>
      </w:tblGrid>
      <w:tr w:rsidR="005B0F27" w:rsidRPr="005B0F27" w:rsidTr="005B0F27">
        <w:trPr>
          <w:tblCellSpacing w:w="15" w:type="dxa"/>
        </w:trPr>
        <w:tc>
          <w:tcPr>
            <w:tcW w:w="6698" w:type="dxa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Заемщики</w:t>
            </w:r>
          </w:p>
        </w:tc>
        <w:tc>
          <w:tcPr>
            <w:tcW w:w="0" w:type="auto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малого и среднего предпринимательства, реализующие проекты в сфере обрабатывающей промышленности, согласно </w:t>
            </w:r>
            <w:hyperlink r:id="rId5" w:history="1">
              <w:r w:rsidRPr="005B0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приоритетным отраслям в рамках программы</w:t>
              </w:r>
            </w:hyperlink>
          </w:p>
        </w:tc>
      </w:tr>
      <w:tr w:rsidR="005B0F27" w:rsidRPr="005B0F27" w:rsidTr="005B0F27">
        <w:trPr>
          <w:tblCellSpacing w:w="15" w:type="dxa"/>
        </w:trPr>
        <w:tc>
          <w:tcPr>
            <w:tcW w:w="6698" w:type="dxa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сумма финансирования на одного заемщика</w:t>
            </w:r>
          </w:p>
        </w:tc>
        <w:tc>
          <w:tcPr>
            <w:tcW w:w="0" w:type="auto"/>
            <w:vAlign w:val="center"/>
            <w:hideMark/>
          </w:tcPr>
          <w:p w:rsidR="005B0F27" w:rsidRPr="005B0F27" w:rsidRDefault="005B0F27" w:rsidP="005B0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1 850 000 </w:t>
            </w:r>
            <w:proofErr w:type="spellStart"/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(один миллиард восемьсот пятьдесят миллионов)</w:t>
            </w:r>
          </w:p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сфере пищевой промышленности – сумма лимита без ограничений, </w:t>
            </w:r>
            <w:hyperlink r:id="rId6" w:history="1">
              <w:r w:rsidRPr="005B0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согласно Перечню сфер пищевой промышленности</w:t>
              </w:r>
            </w:hyperlink>
          </w:p>
        </w:tc>
      </w:tr>
      <w:tr w:rsidR="005B0F27" w:rsidRPr="005B0F27" w:rsidTr="005B0F27">
        <w:trPr>
          <w:tblCellSpacing w:w="15" w:type="dxa"/>
        </w:trPr>
        <w:tc>
          <w:tcPr>
            <w:tcW w:w="6698" w:type="dxa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займа</w:t>
            </w:r>
          </w:p>
        </w:tc>
        <w:tc>
          <w:tcPr>
            <w:tcW w:w="0" w:type="auto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5B0F27" w:rsidRPr="005B0F27" w:rsidTr="005B0F27">
        <w:trPr>
          <w:tblCellSpacing w:w="15" w:type="dxa"/>
        </w:trPr>
        <w:tc>
          <w:tcPr>
            <w:tcW w:w="6698" w:type="dxa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ставка вознаграждения</w:t>
            </w:r>
          </w:p>
        </w:tc>
        <w:tc>
          <w:tcPr>
            <w:tcW w:w="0" w:type="auto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6% годовых</w:t>
            </w:r>
          </w:p>
        </w:tc>
      </w:tr>
      <w:tr w:rsidR="005B0F27" w:rsidRPr="005B0F27" w:rsidTr="005B0F27">
        <w:trPr>
          <w:tblCellSpacing w:w="15" w:type="dxa"/>
        </w:trPr>
        <w:tc>
          <w:tcPr>
            <w:tcW w:w="6698" w:type="dxa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эффективная ставка вознаграждения</w:t>
            </w:r>
          </w:p>
        </w:tc>
        <w:tc>
          <w:tcPr>
            <w:tcW w:w="0" w:type="auto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от 6,2%</w:t>
            </w:r>
          </w:p>
        </w:tc>
      </w:tr>
      <w:tr w:rsidR="005B0F27" w:rsidRPr="005B0F27" w:rsidTr="005B0F27">
        <w:trPr>
          <w:tblCellSpacing w:w="15" w:type="dxa"/>
        </w:trPr>
        <w:tc>
          <w:tcPr>
            <w:tcW w:w="6698" w:type="dxa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финансирования</w:t>
            </w:r>
          </w:p>
        </w:tc>
        <w:tc>
          <w:tcPr>
            <w:tcW w:w="0" w:type="auto"/>
            <w:vAlign w:val="center"/>
            <w:hideMark/>
          </w:tcPr>
          <w:p w:rsidR="005B0F27" w:rsidRPr="005B0F27" w:rsidRDefault="005B0F27" w:rsidP="005B0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- до 120 месяцев;</w:t>
            </w:r>
          </w:p>
          <w:p w:rsidR="005B0F27" w:rsidRPr="005B0F27" w:rsidRDefault="005B0F27" w:rsidP="005B0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оборотных средств – до 60 месяцев;</w:t>
            </w:r>
          </w:p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Рефинансирование – до 120 месяцев.</w:t>
            </w:r>
          </w:p>
        </w:tc>
      </w:tr>
      <w:tr w:rsidR="005B0F27" w:rsidRPr="005B0F27" w:rsidTr="005B0F27">
        <w:trPr>
          <w:tblCellSpacing w:w="15" w:type="dxa"/>
        </w:trPr>
        <w:tc>
          <w:tcPr>
            <w:tcW w:w="6698" w:type="dxa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комиссий за организацию и выдачу займа</w:t>
            </w:r>
          </w:p>
        </w:tc>
      </w:tr>
      <w:tr w:rsidR="005B0F27" w:rsidRPr="005B0F27" w:rsidTr="005B0F27">
        <w:trPr>
          <w:tblCellSpacing w:w="15" w:type="dxa"/>
        </w:trPr>
        <w:tc>
          <w:tcPr>
            <w:tcW w:w="6698" w:type="dxa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назначение средств</w:t>
            </w:r>
          </w:p>
        </w:tc>
        <w:tc>
          <w:tcPr>
            <w:tcW w:w="0" w:type="auto"/>
            <w:vAlign w:val="center"/>
            <w:hideMark/>
          </w:tcPr>
          <w:p w:rsidR="005B0F27" w:rsidRPr="005B0F27" w:rsidRDefault="005B0F27" w:rsidP="005B0F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новых, создание и модернизация основных средств;</w:t>
            </w:r>
          </w:p>
          <w:p w:rsidR="005B0F27" w:rsidRPr="005B0F27" w:rsidRDefault="005B0F27" w:rsidP="005B0F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оборотных средств;</w:t>
            </w:r>
          </w:p>
          <w:p w:rsidR="005B0F27" w:rsidRPr="005B0F27" w:rsidRDefault="005B0F27" w:rsidP="005B0F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рефинансирование действующих инвестиционных займов, не участвующих в программах финансовой поддержки предпринимателей (Программа «Дорожная карта бизнеса 2025», Программа «Даму Өндіріс», Программы оздоровления Министерства финансов Республики Казахстан и АО «НУХ «</w:t>
            </w:r>
            <w:proofErr w:type="spellStart"/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КазАгро</w:t>
            </w:r>
            <w:proofErr w:type="spellEnd"/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5B0F27" w:rsidRPr="005B0F27" w:rsidTr="005B0F27">
        <w:trPr>
          <w:tblCellSpacing w:w="15" w:type="dxa"/>
        </w:trPr>
        <w:tc>
          <w:tcPr>
            <w:tcW w:w="6698" w:type="dxa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Особые условия</w:t>
            </w:r>
          </w:p>
        </w:tc>
        <w:tc>
          <w:tcPr>
            <w:tcW w:w="0" w:type="auto"/>
            <w:vAlign w:val="center"/>
            <w:hideMark/>
          </w:tcPr>
          <w:p w:rsidR="005B0F27" w:rsidRPr="005B0F27" w:rsidRDefault="005B0F27" w:rsidP="005B0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Запрещается предоставление займов конечным заемщикам:</w:t>
            </w:r>
          </w:p>
          <w:p w:rsidR="005B0F27" w:rsidRPr="005B0F27" w:rsidRDefault="005B0F27" w:rsidP="005B0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- на цели участия в уставных капиталах юридических лиц;</w:t>
            </w:r>
          </w:p>
          <w:p w:rsidR="005B0F27" w:rsidRPr="005B0F27" w:rsidRDefault="005B0F27" w:rsidP="005B0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возмещение ранее понесенных затрат Заемщика, погашения задолженности, возникшей в связи с получением Заемщиком финансовой помощи от физических и (или) юридических лиц, в т.ч. участников, акционеров, должностных лиц и работников Заемщика;</w:t>
            </w:r>
          </w:p>
          <w:p w:rsidR="005B0F27" w:rsidRPr="005B0F27" w:rsidRDefault="005B0F27" w:rsidP="005B0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приобретение основных средств, активов, работ и услуг у </w:t>
            </w:r>
            <w:proofErr w:type="spellStart"/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/связанных компаний / лиц;</w:t>
            </w:r>
          </w:p>
          <w:p w:rsidR="005B0F27" w:rsidRPr="005B0F27" w:rsidRDefault="005B0F27" w:rsidP="005B0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цели потребительского кредитования;</w:t>
            </w:r>
          </w:p>
          <w:p w:rsidR="005B0F27" w:rsidRPr="005B0F27" w:rsidRDefault="005B0F27" w:rsidP="005B0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выплата дивидендов учредителям (в том числе участникам, акционерам Заемщика);</w:t>
            </w:r>
          </w:p>
          <w:p w:rsidR="005B0F27" w:rsidRPr="005B0F27" w:rsidRDefault="005B0F27" w:rsidP="005B0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ценных бумаг (портфельные инвестиции);</w:t>
            </w:r>
          </w:p>
          <w:p w:rsidR="005B0F27" w:rsidRPr="005B0F27" w:rsidRDefault="005B0F27" w:rsidP="005B0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- на цели приобретения/строительства непрофильных активов, напрямую не участвующих в производственном цикле, в том числе на цели приобретения легковых автомобилей.</w:t>
            </w:r>
          </w:p>
          <w:p w:rsidR="005B0F27" w:rsidRPr="005B0F27" w:rsidRDefault="005B0F27" w:rsidP="005B0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- оплата любых договоров/контрактов/соглашений, в которых имеется информация о юридическом адресе и/или реквизитах банковского счета контрагентов, зарегистрированном/открытого в оффшорных зонах;</w:t>
            </w: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проекты которых предусматривают выпуск подакцизных товаров;</w:t>
            </w:r>
            <w:proofErr w:type="gramEnd"/>
          </w:p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- некоммерческие организации;</w:t>
            </w: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учредителями</w:t>
            </w:r>
            <w:proofErr w:type="gramEnd"/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являются национальные управляющие холдинги, национальные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</w:t>
            </w: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управляющему холдингу, национальному холдингу, национальной компании, а также юридические лица, форма собственности которых оформлена как частное учреждение.</w:t>
            </w:r>
          </w:p>
        </w:tc>
      </w:tr>
      <w:tr w:rsidR="005B0F27" w:rsidRPr="005B0F27" w:rsidTr="005B0F27">
        <w:trPr>
          <w:tblCellSpacing w:w="15" w:type="dxa"/>
        </w:trPr>
        <w:tc>
          <w:tcPr>
            <w:tcW w:w="6698" w:type="dxa"/>
            <w:vAlign w:val="center"/>
            <w:hideMark/>
          </w:tcPr>
          <w:p w:rsidR="005B0F27" w:rsidRPr="005B0F27" w:rsidRDefault="005B0F27" w:rsidP="005B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Подробнее можно ознакомиться на сайте фонда "Даму"</w:t>
            </w:r>
          </w:p>
        </w:tc>
        <w:tc>
          <w:tcPr>
            <w:tcW w:w="0" w:type="auto"/>
            <w:vAlign w:val="center"/>
            <w:hideMark/>
          </w:tcPr>
          <w:p w:rsidR="005B0F27" w:rsidRPr="005B0F27" w:rsidRDefault="005B0F27" w:rsidP="005B0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5B0F2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https://www.damu.kz/programmi/</w:t>
              </w:r>
            </w:hyperlink>
          </w:p>
        </w:tc>
      </w:tr>
    </w:tbl>
    <w:p w:rsidR="005B0F27" w:rsidRPr="005B0F27" w:rsidRDefault="005B0F27" w:rsidP="005B0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F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F27" w:rsidRPr="005B0F27" w:rsidRDefault="005B0F27" w:rsidP="005B0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F27">
        <w:rPr>
          <w:rFonts w:ascii="Times New Roman" w:eastAsia="Times New Roman" w:hAnsi="Times New Roman" w:cs="Times New Roman"/>
          <w:sz w:val="24"/>
          <w:szCs w:val="24"/>
        </w:rPr>
        <w:t>Порядок и сроки рассмотрения заявок на финансирование регламентируются внутренними нормативными документами Банка, при этом срок рассмотрения заявки клиента варьируется в зависимости от запрашиваемой суммы и условий финансирования. При соответствии проекта условиям Программы и требованиям Банка, срок рассмотрения заявки и принятия решения уполномоченным органом Банка составляет от 15 до 30 рабочих дней с момента предоставления клиентом полного пакета документов.</w:t>
      </w:r>
    </w:p>
    <w:p w:rsidR="005B0F27" w:rsidRPr="005B0F27" w:rsidRDefault="005B0F27" w:rsidP="005B0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5B0F2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Минимальный перечень документов для рассмотрения заявки</w:t>
        </w:r>
      </w:hyperlink>
    </w:p>
    <w:p w:rsidR="0000171E" w:rsidRDefault="0000171E"/>
    <w:sectPr w:rsidR="0000171E" w:rsidSect="005B0F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55510"/>
    <w:multiLevelType w:val="multilevel"/>
    <w:tmpl w:val="E6B0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0F27"/>
    <w:rsid w:val="0000171E"/>
    <w:rsid w:val="005B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B0F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B0F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bank.kz/ru/corporate/government_lending/all_programm/damu_ondiris_3/docu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mu.kz/program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rbank.kz/up_files/2020/pril_1-1_perechen_pish_prom_rus.docx" TargetMode="External"/><Relationship Id="rId5" Type="http://schemas.openxmlformats.org/officeDocument/2006/relationships/hyperlink" Target="https://nurbank.kz/up_files/2020/pril_1_perechen_programm_rus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2022-11-28T09:03:00Z</dcterms:created>
  <dcterms:modified xsi:type="dcterms:W3CDTF">2022-11-28T09:05:00Z</dcterms:modified>
</cp:coreProperties>
</file>