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3B" w:rsidRPr="0013243B" w:rsidRDefault="0013243B" w:rsidP="0013243B">
      <w:pPr>
        <w:shd w:val="clear" w:color="auto" w:fill="FFFFFF"/>
        <w:spacing w:after="3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</w:pPr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Фонд финансовой поддержки сельского хозяйства</w:t>
      </w:r>
    </w:p>
    <w:p w:rsidR="0013243B" w:rsidRPr="0013243B" w:rsidRDefault="0013243B" w:rsidP="0013243B">
      <w:pPr>
        <w:shd w:val="clear" w:color="auto" w:fill="FFFFFF"/>
        <w:spacing w:after="3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</w:pPr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Программа кредитования на развитие животноводства</w:t>
      </w: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7340"/>
        <w:gridCol w:w="4596"/>
      </w:tblGrid>
      <w:tr w:rsidR="0013243B" w:rsidRPr="0013243B" w:rsidTr="001324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условий кредитования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кредитования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Источник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Средства программы «Продуктивная занятость»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CC, ПС, ПС/СС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ИП, КХ, ФХ, СПК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ИП, КХ, ФХ, юридические лица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1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приобретение поголовья КРС, МРС, лошадей, верблюдов, других сельскохозяйственных животных, птиц, медоносных пчёл, рыб;</w:t>
            </w:r>
          </w:p>
          <w:p w:rsidR="0013243B" w:rsidRPr="0013243B" w:rsidRDefault="0013243B" w:rsidP="0013243B">
            <w:pPr>
              <w:numPr>
                <w:ilvl w:val="0"/>
                <w:numId w:val="1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приобретение кормов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2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до 4 000 000 (четыре миллиона) тенге;</w:t>
            </w:r>
          </w:p>
          <w:p w:rsidR="0013243B" w:rsidRPr="0013243B" w:rsidRDefault="0013243B" w:rsidP="0013243B">
            <w:pPr>
              <w:numPr>
                <w:ilvl w:val="0"/>
                <w:numId w:val="2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до 12 000 000 (двенадцать миллионов) тенге, </w:t>
            </w:r>
            <w:proofErr w:type="spellStart"/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c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учетом</w:t>
            </w:r>
            <w:proofErr w:type="spell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якорной кооперации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3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до 30 000 000 (тридцать миллионов) тенге*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Срок кредитной линии/кредита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4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78 (семьдесят восемь) месяцев;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5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120 (сто двадцать) месяцев;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Ставка вознаграждения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6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6,0 % годовых, годовая эффективная ставка вознаграждения не более - 6,7 % годовых, за исключением заемщиков, относящихся к категории малообеспеченных и/или многодетных семей;</w:t>
            </w:r>
          </w:p>
          <w:p w:rsidR="0013243B" w:rsidRPr="0013243B" w:rsidRDefault="0013243B" w:rsidP="0013243B">
            <w:pPr>
              <w:numPr>
                <w:ilvl w:val="0"/>
                <w:numId w:val="6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для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заемщиков, относящихся к категории малообеспеченных и/или </w:t>
            </w: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lastRenderedPageBreak/>
              <w:t>многодетных семей ставка вознаграждения составляет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- 4% годовых, годовая эффективная ставка не более - 4,7% годовых.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lastRenderedPageBreak/>
              <w:t>Из средств ЭПВ:</w:t>
            </w:r>
          </w:p>
          <w:p w:rsidR="0013243B" w:rsidRPr="0013243B" w:rsidRDefault="0013243B" w:rsidP="0013243B">
            <w:pPr>
              <w:numPr>
                <w:ilvl w:val="0"/>
                <w:numId w:val="7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15 %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, годовая эффективная ставка вознаграждения не более – </w:t>
            </w: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lastRenderedPageBreak/>
              <w:t>17,4 % годовых**;</w:t>
            </w:r>
          </w:p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t>Из средств CC, ПС, ПС/СС:</w:t>
            </w:r>
          </w:p>
          <w:p w:rsidR="0013243B" w:rsidRPr="0013243B" w:rsidRDefault="0013243B" w:rsidP="0013243B">
            <w:pPr>
              <w:numPr>
                <w:ilvl w:val="0"/>
                <w:numId w:val="8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16,0 %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, годовая эффективная ставка вознаграждения не более - 18,4 % годовых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Льготный период по погашению 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9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одной трети от продолжительности срока кредита/транша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10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24 (</w:t>
            </w:r>
            <w:proofErr w:type="spell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двадцатьчетыре</w:t>
            </w:r>
            <w:proofErr w:type="spell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) месяцев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Льготный период по погашению вознаграждения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11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9 (девять)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12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12 (двенадцать) месяцев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Периодичность погашения 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ежемесячно/ежеквартально/1 (один) раз в полгода/1 (один) раз в год, с возможностью частичного/полного досрочного погашения в течение срока кредитования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Периодичность погашения вознаграждения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ежемесячно/ежеквартально/1 (один) раз в полгода, с возможностью погашения начисленного вознаграждения в течение срока кредитования за фактически использованный период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Метод погашения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proofErr w:type="spell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аннуитетный</w:t>
            </w:r>
            <w:proofErr w:type="spell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равными платежами)/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дифференцированный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основного долга равными долями)/предоставление гибкого графика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Обеспечение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согласно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Залоговой политики Общества.</w:t>
            </w:r>
          </w:p>
        </w:tc>
      </w:tr>
    </w:tbl>
    <w:p w:rsidR="0013243B" w:rsidRPr="0013243B" w:rsidRDefault="0013243B" w:rsidP="0013243B">
      <w:pPr>
        <w:shd w:val="clear" w:color="auto" w:fill="FFFFFF"/>
        <w:spacing w:after="3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</w:pPr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Программа кредитования на развитие растениеводства</w:t>
      </w: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7249"/>
        <w:gridCol w:w="4493"/>
      </w:tblGrid>
      <w:tr w:rsidR="0013243B" w:rsidRPr="0013243B" w:rsidTr="001324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Параметры условий кредитования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кредитования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Источник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Средства программы «Продуктивная занятость»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СС, ПС, ПС/СС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ИП, КХ, ФХ, СПК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ИП, КХ, ФХ, юридические лица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пополнение </w:t>
            </w:r>
            <w:proofErr w:type="spell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оборотногокапитала</w:t>
            </w:r>
            <w:proofErr w:type="spellEnd"/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до 6 000 000 (шесть миллионов) тенге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до 30 000 000 (тридцать миллионов) тенге*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Срок кредитной линии/кредита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36 (тридцать шесть) месяцев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Срок транша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12 (двенадцать) месяцев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Ставка вознаграждения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13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6,0 % годовых, годовая эффективная ставка вознаграждения не более - 6,7 % годовых, за исключением заемщиков, относящихся к категории малообеспеченных и/или многодетных семей;</w:t>
            </w:r>
          </w:p>
          <w:p w:rsidR="0013243B" w:rsidRPr="0013243B" w:rsidRDefault="0013243B" w:rsidP="0013243B">
            <w:pPr>
              <w:numPr>
                <w:ilvl w:val="0"/>
                <w:numId w:val="13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для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заемщиков, относящихся к категории малообеспеченных и/или многодетных семей ставка вознаграждения составляет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- 4% годовых, годовая эффективная ставка не более - 4,7% годовых.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t>Из средств ЭПВ:</w:t>
            </w:r>
          </w:p>
          <w:p w:rsidR="0013243B" w:rsidRPr="0013243B" w:rsidRDefault="0013243B" w:rsidP="0013243B">
            <w:pPr>
              <w:numPr>
                <w:ilvl w:val="0"/>
                <w:numId w:val="14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15 %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, годовая эффективная ставка вознаграждения не более – 17,4 % годовых**;</w:t>
            </w:r>
          </w:p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t>Из средств CC, ПС, ПС/СС:</w:t>
            </w:r>
          </w:p>
          <w:p w:rsidR="0013243B" w:rsidRPr="0013243B" w:rsidRDefault="0013243B" w:rsidP="0013243B">
            <w:pPr>
              <w:numPr>
                <w:ilvl w:val="0"/>
                <w:numId w:val="15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16,0 %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, годовая эффективная ставка вознаграждения не более - 18,4 % годовых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Льготный период по погашению ОД и вознаграждению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16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12 (двенадцать) месяцев (но не более одной трети от продолжительности срока кредита/транша)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Периодичность погашения ОД и вознаграждения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17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в конце срока транша, ежемесячно/ежеквартально/1 (один) раз в полгода/1 (один) раз в </w:t>
            </w:r>
            <w:proofErr w:type="spell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годс</w:t>
            </w:r>
            <w:proofErr w:type="spell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возможностью частичного/полного досрочного погашения в течение срока кредитования;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Метод погашения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proofErr w:type="spell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аннуитетный</w:t>
            </w:r>
            <w:proofErr w:type="spell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равными платежами)/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дифференцированный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основного долга равными долями)/предоставление гибкого графика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Обеспечение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согласно Залоговой политике Общества</w:t>
            </w:r>
          </w:p>
        </w:tc>
      </w:tr>
    </w:tbl>
    <w:p w:rsidR="0013243B" w:rsidRPr="0013243B" w:rsidRDefault="0013243B" w:rsidP="0013243B">
      <w:pPr>
        <w:shd w:val="clear" w:color="auto" w:fill="FFFFFF"/>
        <w:spacing w:after="3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</w:pPr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Программа кредитования на развитие предпринимательской деятельности</w:t>
      </w:r>
    </w:p>
    <w:p w:rsidR="0013243B" w:rsidRPr="0013243B" w:rsidRDefault="0013243B" w:rsidP="0013243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</w:pPr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Программ</w:t>
      </w:r>
      <w:proofErr w:type="gramStart"/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а(</w:t>
      </w:r>
      <w:proofErr w:type="gramEnd"/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-ы) кредитования на развитие предпринимательской деятельности в селе и малых городах</w:t>
      </w: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7370"/>
        <w:gridCol w:w="4548"/>
      </w:tblGrid>
      <w:tr w:rsidR="0013243B" w:rsidRPr="0013243B" w:rsidTr="001324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условий кредитования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кредитования на селе и малых городах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Источник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Средства программы «Продуктивная занятость»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CC, ПС, ПС/СС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ИП, КХ, ФХ, СПК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ИП, КХ, ФХ, юридические лица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организация и расширение несельскохозяйственных и сельскохозяйственных видов бизнеса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18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до 6 000 000 (шесть миллионов) тенге;</w:t>
            </w:r>
          </w:p>
          <w:p w:rsidR="0013243B" w:rsidRPr="0013243B" w:rsidRDefault="0013243B" w:rsidP="0013243B">
            <w:pPr>
              <w:numPr>
                <w:ilvl w:val="0"/>
                <w:numId w:val="18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до 10 000 000 (десять миллионов) тенге, с учетом якорной </w:t>
            </w: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lastRenderedPageBreak/>
              <w:t>кооперации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19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lastRenderedPageBreak/>
              <w:t>до 20 000 000 (двадцать миллионов) тенге*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Ставка вознаграждения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20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6,0 % годовых, годовая эффективная ставка вознаграждения не более - 6,7 % годовых, за исключением заемщиков, относящихся к категории малообеспеченных и/или многодетных семей;</w:t>
            </w:r>
          </w:p>
          <w:p w:rsidR="0013243B" w:rsidRPr="0013243B" w:rsidRDefault="0013243B" w:rsidP="0013243B">
            <w:pPr>
              <w:numPr>
                <w:ilvl w:val="0"/>
                <w:numId w:val="20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для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заемщиков, относящихся к категории малообеспеченных и/или многодетных семей ставка вознаграждения составляет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- 4% годовых, годовая эффективная ставка не более - 4,7% годовых.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t>Из средств ЭПВ:</w:t>
            </w:r>
          </w:p>
          <w:p w:rsidR="0013243B" w:rsidRPr="0013243B" w:rsidRDefault="0013243B" w:rsidP="0013243B">
            <w:pPr>
              <w:numPr>
                <w:ilvl w:val="0"/>
                <w:numId w:val="21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15 %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, годовая эффективная ставка вознаграждения не более – 17,4 % годовых**;</w:t>
            </w:r>
          </w:p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t>Из средств CC, ПС, ПС/СС:</w:t>
            </w:r>
          </w:p>
          <w:p w:rsidR="0013243B" w:rsidRPr="0013243B" w:rsidRDefault="0013243B" w:rsidP="0013243B">
            <w:pPr>
              <w:numPr>
                <w:ilvl w:val="0"/>
                <w:numId w:val="22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16,0 %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, годовая эффективная ставка вознаграждения не более - 18,4 % годовых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Срок кредитной линии/кредита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23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60 (шестьдесят) месяцев за исключением заемщиков, относящихся к категории малообеспеченных и/или многодетных семей;</w:t>
            </w:r>
          </w:p>
          <w:p w:rsidR="0013243B" w:rsidRPr="0013243B" w:rsidRDefault="0013243B" w:rsidP="0013243B">
            <w:pPr>
              <w:numPr>
                <w:ilvl w:val="0"/>
                <w:numId w:val="23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для заемщиков, относящихся к категории малообеспеченных и/или многодетных семей - не более 78 (семьдесят восемь) месяцев;</w:t>
            </w:r>
          </w:p>
          <w:p w:rsidR="0013243B" w:rsidRPr="0013243B" w:rsidRDefault="0013243B" w:rsidP="0013243B">
            <w:pPr>
              <w:numPr>
                <w:ilvl w:val="0"/>
                <w:numId w:val="23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36 (тридцать шесть) месяцев - на пополнение оборотного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24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60 (шестьдесят) месяцев;</w:t>
            </w:r>
          </w:p>
          <w:p w:rsidR="0013243B" w:rsidRPr="0013243B" w:rsidRDefault="0013243B" w:rsidP="0013243B">
            <w:pPr>
              <w:numPr>
                <w:ilvl w:val="0"/>
                <w:numId w:val="24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36 (тридцать шесть) месяцев - на пополнение оборотного капитала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Льготный период по погашению 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12 (двенадцать) месяцев (но не более одной трети от продолжительности срока кредита/транша)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 xml:space="preserve">Льготный период по </w:t>
            </w: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погашению вознаграждения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lastRenderedPageBreak/>
              <w:t>не более 6 (шесть) месяцев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Периодичность погашения 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25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ежемесячно/ежеквартально/1 (один) раз в полгода, с возможностью частичного/полного досрочного погашения в течение срока кредитования;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Периодичность погашения вознаграждения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26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ежемесячно/ежеквартально, с возможностью погашения начисленного вознаграждения в течение срока кредитования за фактически использованный период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Метод погашения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proofErr w:type="spell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аннуитетный</w:t>
            </w:r>
            <w:proofErr w:type="spell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равными платежами)/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дифференцированный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основного долга равными долями)/предоставление гибкого графика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Обеспечение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согласно Залоговой политике Общества</w:t>
            </w:r>
          </w:p>
        </w:tc>
      </w:tr>
    </w:tbl>
    <w:p w:rsidR="0013243B" w:rsidRPr="0013243B" w:rsidRDefault="0013243B" w:rsidP="0013243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</w:pPr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*Финансирование осуществляется в случае наличия запланированных средств.</w:t>
      </w:r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br/>
        <w:t xml:space="preserve">**Финансирование возможно после включения Общества в Постановление Правительства Республики Казахстан от 11 декабря 2018 года № 820 «О некоторых вопросах обеспечения долгосрочной </w:t>
      </w:r>
      <w:proofErr w:type="spellStart"/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тенговой</w:t>
      </w:r>
      <w:proofErr w:type="spellEnd"/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 xml:space="preserve"> ликвидности для решения задачи доступного кредитования».</w:t>
      </w:r>
    </w:p>
    <w:p w:rsidR="0013243B" w:rsidRPr="0013243B" w:rsidRDefault="0013243B" w:rsidP="0013243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</w:pPr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br/>
      </w:r>
    </w:p>
    <w:p w:rsidR="0013243B" w:rsidRPr="0013243B" w:rsidRDefault="0013243B" w:rsidP="0013243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</w:pPr>
      <w:r w:rsidRPr="0013243B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  <w:t>Программа кредитования на развитие предпринимательской деятельности</w:t>
      </w:r>
    </w:p>
    <w:p w:rsidR="0013243B" w:rsidRPr="0013243B" w:rsidRDefault="0013243B" w:rsidP="001324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lang w:eastAsia="ru-RU"/>
        </w:rPr>
      </w:pP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10764"/>
      </w:tblGrid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Параметры условий кредитования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Условия кредитования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Источник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средства ПРООН, средства местных исполнительных органов, собственные средства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ИП, КХ, ФХ, юридические лица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организация и расширение несельскохозяйственных и сельскохозяйственных видов бизнеса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до 8 000 МРП*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Ставка вознаграждения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t>За счет средств ПРОООН, собственных средств:</w:t>
            </w:r>
          </w:p>
          <w:p w:rsidR="0013243B" w:rsidRPr="0013243B" w:rsidRDefault="0013243B" w:rsidP="0013243B">
            <w:pPr>
              <w:numPr>
                <w:ilvl w:val="0"/>
                <w:numId w:val="27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6 %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, годовая эффективная ставка вознаграждения не более 6,7 % годовых;</w:t>
            </w:r>
          </w:p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t>За счет средств местных исполнительных органов:</w:t>
            </w:r>
          </w:p>
          <w:p w:rsidR="0013243B" w:rsidRPr="0013243B" w:rsidRDefault="0013243B" w:rsidP="0013243B">
            <w:pPr>
              <w:numPr>
                <w:ilvl w:val="0"/>
                <w:numId w:val="28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7 %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, годовая эффективная ставка вознаграждения не более 7,3 % годовых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Срок кредитной линии/кредита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29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60 (шестьдесят) месяцев;</w:t>
            </w:r>
          </w:p>
          <w:p w:rsidR="0013243B" w:rsidRPr="0013243B" w:rsidRDefault="0013243B" w:rsidP="0013243B">
            <w:pPr>
              <w:numPr>
                <w:ilvl w:val="0"/>
                <w:numId w:val="29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36 (тридцать шесть) месяцев - на пополнение оборотного капитала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Льготный период по погашению ОД и вознаграждения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одной трети от продолжительности срока кредита/транша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Периодичность погашения 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30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ежемесячно/ежеквартально/1 (один) раз в полгода, с возможностью частичного/полного досрочного погашения в течение срока кредитования;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 xml:space="preserve">Периодичность погашения </w:t>
            </w: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вознаграждения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31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lastRenderedPageBreak/>
              <w:t xml:space="preserve">ежемесячно/ежеквартально, с возможностью погашения начисленного вознаграждения в течение срока </w:t>
            </w: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lastRenderedPageBreak/>
              <w:t>кредитования за фактически использованный период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Метод погашения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proofErr w:type="spell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аннуитетный</w:t>
            </w:r>
            <w:proofErr w:type="spell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равными платежами)/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дифференцированный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основного долга равными долями)/предоставление гибкого графика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Обеспечение</w:t>
            </w:r>
          </w:p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согласно Залоговой политике Общества</w:t>
            </w:r>
          </w:p>
        </w:tc>
      </w:tr>
    </w:tbl>
    <w:p w:rsidR="0013243B" w:rsidRPr="0013243B" w:rsidRDefault="0013243B" w:rsidP="001324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hyperlink r:id="rId6" w:tgtFrame="_blank" w:tooltip="АО &quot;Фонд финансовой поддержки сельского хозяйства&quot;" w:history="1">
        <w:r w:rsidRPr="0013243B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br/>
          <w:t>АО "Фонд финансовой поддержки сельского хозяйства"</w:t>
        </w:r>
      </w:hyperlink>
    </w:p>
    <w:p w:rsidR="0013243B" w:rsidRPr="0013243B" w:rsidRDefault="0013243B" w:rsidP="001324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3243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/</w:t>
      </w:r>
    </w:p>
    <w:p w:rsidR="0013243B" w:rsidRPr="0013243B" w:rsidRDefault="0013243B" w:rsidP="0013243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13243B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Кредитные продукты</w:t>
      </w:r>
    </w:p>
    <w:p w:rsidR="0013243B" w:rsidRPr="0013243B" w:rsidRDefault="0013243B" w:rsidP="001324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13243B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Кредитные продукты</w:t>
      </w:r>
    </w:p>
    <w:p w:rsidR="0013243B" w:rsidRPr="0013243B" w:rsidRDefault="0013243B" w:rsidP="0013243B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121212"/>
          <w:sz w:val="27"/>
          <w:szCs w:val="27"/>
          <w:lang w:eastAsia="ru-RU"/>
        </w:rPr>
      </w:pPr>
      <w:hyperlink r:id="rId7" w:tgtFrame="_blank" w:history="1">
        <w:r w:rsidRPr="0013243B">
          <w:rPr>
            <w:rFonts w:ascii="Times New Roman" w:eastAsia="Times New Roman" w:hAnsi="Times New Roman" w:cs="Times New Roman"/>
            <w:b/>
            <w:bCs/>
            <w:color w:val="000000"/>
            <w:spacing w:val="5"/>
            <w:sz w:val="27"/>
            <w:szCs w:val="27"/>
            <w:shd w:val="clear" w:color="auto" w:fill="FFC107"/>
            <w:lang w:eastAsia="ru-RU"/>
          </w:rPr>
          <w:t>Подать онлайн заявку</w:t>
        </w:r>
      </w:hyperlink>
    </w:p>
    <w:p w:rsidR="0013243B" w:rsidRPr="0013243B" w:rsidRDefault="0013243B" w:rsidP="0013243B">
      <w:pPr>
        <w:shd w:val="clear" w:color="auto" w:fill="FFFFFF"/>
        <w:spacing w:after="375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3243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Программа кредитования на хранение и переработку сельскохозяйственной продукции</w:t>
      </w: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7370"/>
        <w:gridCol w:w="4548"/>
      </w:tblGrid>
      <w:tr w:rsidR="0013243B" w:rsidRPr="0013243B" w:rsidTr="001324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условий кредитования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кредитования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Источник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Средства программы «Продуктивная занятость»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CC, ПС, ПС/СС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КХ, ФХ, ИП, СПК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КХ, ФХ, ИП, юридические лица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32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приобретение техники и/или оборудования для заготовки и/или переработки продукции агропромышленного комплекса;</w:t>
            </w:r>
          </w:p>
          <w:p w:rsidR="0013243B" w:rsidRPr="0013243B" w:rsidRDefault="0013243B" w:rsidP="0013243B">
            <w:pPr>
              <w:numPr>
                <w:ilvl w:val="0"/>
                <w:numId w:val="32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lastRenderedPageBreak/>
              <w:t>пополнение оборотного капитала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до 15 000 000 (пятнадцать миллионов) тенге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до 30 000 000 (тридцать миллионов) тенге*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Срок кредитной линии/кредита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33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78 (семьдесят восемь) месяцев для СПК, малообеспеченных и/или многодетных семей;</w:t>
            </w:r>
          </w:p>
          <w:p w:rsidR="0013243B" w:rsidRPr="0013243B" w:rsidRDefault="0013243B" w:rsidP="0013243B">
            <w:pPr>
              <w:numPr>
                <w:ilvl w:val="0"/>
                <w:numId w:val="33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60 (шестьдесят) месяцев для КХ, ФХ, ИП;</w:t>
            </w:r>
          </w:p>
          <w:p w:rsidR="0013243B" w:rsidRPr="0013243B" w:rsidRDefault="0013243B" w:rsidP="0013243B">
            <w:pPr>
              <w:numPr>
                <w:ilvl w:val="0"/>
                <w:numId w:val="33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24 (двадцать четыре) месяцев - на пополнение оборотного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34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78 (семьдесят восемь) месяцев;</w:t>
            </w:r>
          </w:p>
          <w:p w:rsidR="0013243B" w:rsidRPr="0013243B" w:rsidRDefault="0013243B" w:rsidP="0013243B">
            <w:pPr>
              <w:numPr>
                <w:ilvl w:val="0"/>
                <w:numId w:val="34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24 (двадцать четыре) месяцев - на пополнение оборотного капитала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Ставка вознаграждения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35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6,0 % годовых, годовая эффективная ставка вознаграждения не более - 6,7 % годовых, за исключением заемщиков, относящихся к категории малообеспеченных и/или многодетных семей;</w:t>
            </w:r>
          </w:p>
          <w:p w:rsidR="0013243B" w:rsidRPr="0013243B" w:rsidRDefault="0013243B" w:rsidP="0013243B">
            <w:pPr>
              <w:numPr>
                <w:ilvl w:val="0"/>
                <w:numId w:val="35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для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заемщиков, относящихся к категории малообеспеченных и/или многодетных семей ставка вознаграждения составляет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- 4% годовых, годовая эффективная ставка не более - 4,7% годовых.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t>Из средств ЭПВ:</w:t>
            </w:r>
          </w:p>
          <w:p w:rsidR="0013243B" w:rsidRPr="0013243B" w:rsidRDefault="0013243B" w:rsidP="0013243B">
            <w:pPr>
              <w:numPr>
                <w:ilvl w:val="0"/>
                <w:numId w:val="36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15 %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, годовая эффективная ставка вознаграждения не более – 17,4 % годовых**;</w:t>
            </w:r>
          </w:p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u w:val="single"/>
                <w:lang w:eastAsia="ru-RU"/>
              </w:rPr>
              <w:t>Из средств CC, ПС, ПС/СС:</w:t>
            </w:r>
          </w:p>
          <w:p w:rsidR="0013243B" w:rsidRPr="0013243B" w:rsidRDefault="0013243B" w:rsidP="0013243B">
            <w:pPr>
              <w:numPr>
                <w:ilvl w:val="0"/>
                <w:numId w:val="37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16,0 %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годовых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, годовая эффективная ставка вознаграждения не более - 18,4 % годовых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Льготный период по погашению 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38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24 (двадцать четыре) месяцев на приобретение техники и/или оборудовани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я(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но не более одной трети от продолжительности срока кредита/транша);</w:t>
            </w:r>
          </w:p>
          <w:p w:rsidR="0013243B" w:rsidRPr="0013243B" w:rsidRDefault="0013243B" w:rsidP="0013243B">
            <w:pPr>
              <w:numPr>
                <w:ilvl w:val="0"/>
                <w:numId w:val="38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lastRenderedPageBreak/>
              <w:t>не более 6 (шесть) месяцев на пополнение оборотного капитала;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lastRenderedPageBreak/>
              <w:t>Льготный период по погашению вознаграждения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numPr>
                <w:ilvl w:val="0"/>
                <w:numId w:val="39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12 (двенадцать) месяцев на приобретение техники и/или оборудования;</w:t>
            </w:r>
          </w:p>
          <w:p w:rsidR="0013243B" w:rsidRPr="0013243B" w:rsidRDefault="0013243B" w:rsidP="0013243B">
            <w:pPr>
              <w:numPr>
                <w:ilvl w:val="0"/>
                <w:numId w:val="39"/>
              </w:numPr>
              <w:spacing w:before="100" w:beforeAutospacing="1" w:after="225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не более 6 (шесть) месяцев на пополнение оборотного капитала;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Периодичность погашения 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ежемесячно/ежеквартально/1 (один) раз в полгода, с возможностью частичного/полного досрочного погашения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Периодичность погашения вознаграждения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ежемесячно/ежеквартально/1 (один) раз в полгода, с возможностью погашения начисленного вознаграждения в течение срока кредитования за фактически использованный период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nil"/>
              <w:right w:val="nil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Метод погашения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FFFFF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proofErr w:type="spell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аннуитетный</w:t>
            </w:r>
            <w:proofErr w:type="spell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равными платежами)/ </w:t>
            </w:r>
            <w:proofErr w:type="gramStart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дифференцированный</w:t>
            </w:r>
            <w:proofErr w:type="gramEnd"/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 xml:space="preserve"> (с погашением основного долга равными долями)/предоставление гибкого графика</w:t>
            </w:r>
          </w:p>
        </w:tc>
      </w:tr>
      <w:tr w:rsidR="0013243B" w:rsidRPr="0013243B" w:rsidTr="0013243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b/>
                <w:bCs/>
                <w:color w:val="4F4F4F"/>
                <w:sz w:val="21"/>
                <w:szCs w:val="21"/>
                <w:lang w:eastAsia="ru-RU"/>
              </w:rPr>
              <w:t>Обеспечение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9F9F9"/>
            <w:tcMar>
              <w:top w:w="195" w:type="dxa"/>
              <w:left w:w="270" w:type="dxa"/>
              <w:bottom w:w="195" w:type="dxa"/>
              <w:right w:w="270" w:type="dxa"/>
            </w:tcMar>
            <w:vAlign w:val="center"/>
            <w:hideMark/>
          </w:tcPr>
          <w:p w:rsidR="0013243B" w:rsidRPr="0013243B" w:rsidRDefault="0013243B" w:rsidP="0013243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</w:pPr>
            <w:r w:rsidRPr="0013243B">
              <w:rPr>
                <w:rFonts w:ascii="Times New Roman" w:eastAsia="Times New Roman" w:hAnsi="Times New Roman" w:cs="Times New Roman"/>
                <w:color w:val="4F4F4F"/>
                <w:sz w:val="21"/>
                <w:szCs w:val="21"/>
                <w:lang w:eastAsia="ru-RU"/>
              </w:rPr>
              <w:t>согласно Залоговой политике Общества.</w:t>
            </w:r>
          </w:p>
        </w:tc>
      </w:tr>
    </w:tbl>
    <w:p w:rsidR="00C60F9F" w:rsidRDefault="00C60F9F">
      <w:bookmarkStart w:id="0" w:name="_GoBack"/>
      <w:bookmarkEnd w:id="0"/>
    </w:p>
    <w:sectPr w:rsidR="00C60F9F" w:rsidSect="001324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F09"/>
    <w:multiLevelType w:val="multilevel"/>
    <w:tmpl w:val="E2FA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62B4F"/>
    <w:multiLevelType w:val="multilevel"/>
    <w:tmpl w:val="51E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26490"/>
    <w:multiLevelType w:val="multilevel"/>
    <w:tmpl w:val="688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D5817"/>
    <w:multiLevelType w:val="multilevel"/>
    <w:tmpl w:val="68C4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C635A"/>
    <w:multiLevelType w:val="multilevel"/>
    <w:tmpl w:val="8BD0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4420B"/>
    <w:multiLevelType w:val="multilevel"/>
    <w:tmpl w:val="A1DA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0229A"/>
    <w:multiLevelType w:val="multilevel"/>
    <w:tmpl w:val="505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B2FF8"/>
    <w:multiLevelType w:val="multilevel"/>
    <w:tmpl w:val="F11E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4A2F"/>
    <w:multiLevelType w:val="multilevel"/>
    <w:tmpl w:val="7366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F5E1F"/>
    <w:multiLevelType w:val="multilevel"/>
    <w:tmpl w:val="4C4C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46D08"/>
    <w:multiLevelType w:val="multilevel"/>
    <w:tmpl w:val="2E9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C04EC"/>
    <w:multiLevelType w:val="multilevel"/>
    <w:tmpl w:val="103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451A5"/>
    <w:multiLevelType w:val="multilevel"/>
    <w:tmpl w:val="C7F8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94950"/>
    <w:multiLevelType w:val="multilevel"/>
    <w:tmpl w:val="820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776C1"/>
    <w:multiLevelType w:val="multilevel"/>
    <w:tmpl w:val="49C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6466F"/>
    <w:multiLevelType w:val="multilevel"/>
    <w:tmpl w:val="9B42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41DBC"/>
    <w:multiLevelType w:val="multilevel"/>
    <w:tmpl w:val="C292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276E6"/>
    <w:multiLevelType w:val="multilevel"/>
    <w:tmpl w:val="72FE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F215F"/>
    <w:multiLevelType w:val="multilevel"/>
    <w:tmpl w:val="0394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E5FBF"/>
    <w:multiLevelType w:val="multilevel"/>
    <w:tmpl w:val="BE28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3C267D"/>
    <w:multiLevelType w:val="multilevel"/>
    <w:tmpl w:val="876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05E36"/>
    <w:multiLevelType w:val="multilevel"/>
    <w:tmpl w:val="006E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66B7E"/>
    <w:multiLevelType w:val="multilevel"/>
    <w:tmpl w:val="240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BC6F1D"/>
    <w:multiLevelType w:val="multilevel"/>
    <w:tmpl w:val="F978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67B9A"/>
    <w:multiLevelType w:val="multilevel"/>
    <w:tmpl w:val="25EC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D305E"/>
    <w:multiLevelType w:val="multilevel"/>
    <w:tmpl w:val="808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2C2CFB"/>
    <w:multiLevelType w:val="multilevel"/>
    <w:tmpl w:val="CDD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BD7277"/>
    <w:multiLevelType w:val="multilevel"/>
    <w:tmpl w:val="16FC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61184B"/>
    <w:multiLevelType w:val="multilevel"/>
    <w:tmpl w:val="63E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969E1"/>
    <w:multiLevelType w:val="multilevel"/>
    <w:tmpl w:val="3E8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B238C4"/>
    <w:multiLevelType w:val="multilevel"/>
    <w:tmpl w:val="E62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5828C0"/>
    <w:multiLevelType w:val="multilevel"/>
    <w:tmpl w:val="2A9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617A5B"/>
    <w:multiLevelType w:val="multilevel"/>
    <w:tmpl w:val="A2AC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3049D9"/>
    <w:multiLevelType w:val="multilevel"/>
    <w:tmpl w:val="A71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C10E12"/>
    <w:multiLevelType w:val="multilevel"/>
    <w:tmpl w:val="142E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F251A4"/>
    <w:multiLevelType w:val="multilevel"/>
    <w:tmpl w:val="9C7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FE6DF2"/>
    <w:multiLevelType w:val="multilevel"/>
    <w:tmpl w:val="58D4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E2064"/>
    <w:multiLevelType w:val="multilevel"/>
    <w:tmpl w:val="B3A6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4E08DF"/>
    <w:multiLevelType w:val="multilevel"/>
    <w:tmpl w:val="E452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4"/>
  </w:num>
  <w:num w:numId="3">
    <w:abstractNumId w:val="38"/>
  </w:num>
  <w:num w:numId="4">
    <w:abstractNumId w:val="11"/>
  </w:num>
  <w:num w:numId="5">
    <w:abstractNumId w:val="22"/>
  </w:num>
  <w:num w:numId="6">
    <w:abstractNumId w:val="10"/>
  </w:num>
  <w:num w:numId="7">
    <w:abstractNumId w:val="35"/>
  </w:num>
  <w:num w:numId="8">
    <w:abstractNumId w:val="19"/>
  </w:num>
  <w:num w:numId="9">
    <w:abstractNumId w:val="9"/>
  </w:num>
  <w:num w:numId="10">
    <w:abstractNumId w:val="2"/>
  </w:num>
  <w:num w:numId="11">
    <w:abstractNumId w:val="15"/>
  </w:num>
  <w:num w:numId="12">
    <w:abstractNumId w:val="17"/>
  </w:num>
  <w:num w:numId="13">
    <w:abstractNumId w:val="12"/>
  </w:num>
  <w:num w:numId="14">
    <w:abstractNumId w:val="13"/>
  </w:num>
  <w:num w:numId="15">
    <w:abstractNumId w:val="24"/>
  </w:num>
  <w:num w:numId="16">
    <w:abstractNumId w:val="4"/>
  </w:num>
  <w:num w:numId="17">
    <w:abstractNumId w:val="1"/>
  </w:num>
  <w:num w:numId="18">
    <w:abstractNumId w:val="34"/>
  </w:num>
  <w:num w:numId="19">
    <w:abstractNumId w:val="16"/>
  </w:num>
  <w:num w:numId="20">
    <w:abstractNumId w:val="3"/>
  </w:num>
  <w:num w:numId="21">
    <w:abstractNumId w:val="32"/>
  </w:num>
  <w:num w:numId="22">
    <w:abstractNumId w:val="28"/>
  </w:num>
  <w:num w:numId="23">
    <w:abstractNumId w:val="25"/>
  </w:num>
  <w:num w:numId="24">
    <w:abstractNumId w:val="36"/>
  </w:num>
  <w:num w:numId="25">
    <w:abstractNumId w:val="33"/>
  </w:num>
  <w:num w:numId="26">
    <w:abstractNumId w:val="27"/>
  </w:num>
  <w:num w:numId="27">
    <w:abstractNumId w:val="37"/>
  </w:num>
  <w:num w:numId="28">
    <w:abstractNumId w:val="8"/>
  </w:num>
  <w:num w:numId="29">
    <w:abstractNumId w:val="0"/>
  </w:num>
  <w:num w:numId="30">
    <w:abstractNumId w:val="23"/>
  </w:num>
  <w:num w:numId="31">
    <w:abstractNumId w:val="21"/>
  </w:num>
  <w:num w:numId="32">
    <w:abstractNumId w:val="26"/>
  </w:num>
  <w:num w:numId="33">
    <w:abstractNumId w:val="5"/>
  </w:num>
  <w:num w:numId="34">
    <w:abstractNumId w:val="30"/>
  </w:num>
  <w:num w:numId="35">
    <w:abstractNumId w:val="18"/>
  </w:num>
  <w:num w:numId="36">
    <w:abstractNumId w:val="7"/>
  </w:num>
  <w:num w:numId="37">
    <w:abstractNumId w:val="6"/>
  </w:num>
  <w:num w:numId="38">
    <w:abstractNumId w:val="2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3B"/>
    <w:rsid w:val="0013243B"/>
    <w:rsid w:val="00C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20921">
              <w:marLeft w:val="0"/>
              <w:marRight w:val="0"/>
              <w:marTop w:val="0"/>
              <w:marBottom w:val="8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640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189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1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954686">
              <w:marLeft w:val="0"/>
              <w:marRight w:val="0"/>
              <w:marTop w:val="0"/>
              <w:marBottom w:val="8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42625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.fagri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gri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2021-09-07T04:37:00Z</dcterms:created>
  <dcterms:modified xsi:type="dcterms:W3CDTF">2021-09-07T04:38:00Z</dcterms:modified>
</cp:coreProperties>
</file>